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488"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2334-2014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9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0D7F90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once horas seis minutos del veinticuatro de julio de dos mil catorce.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773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b/>
          <w:bCs/>
          <w:spacing w:val="5"/>
        </w:rPr>
      </w:pPr>
      <w:r>
        <w:rPr>
          <w:rStyle w:val="CharacterStyle1"/>
          <w:rFonts w:ascii="Verdana" w:hAnsi="Verdana" w:cs="Verdana"/>
          <w:spacing w:val="5"/>
          <w:sz w:val="18"/>
          <w:szCs w:val="18"/>
        </w:rPr>
        <w:t xml:space="preserve">RECURSO DE REVOCATORIA Y/0 REPOSICION, </w:t>
      </w:r>
      <w:r>
        <w:rPr>
          <w:rStyle w:val="CharacterStyle1"/>
          <w:rFonts w:ascii="Verdana" w:hAnsi="Verdana" w:cs="Verdana"/>
          <w:spacing w:val="5"/>
        </w:rPr>
        <w:t xml:space="preserve">interpuesto por la </w:t>
      </w:r>
      <w:r w:rsidR="000D7F90">
        <w:rPr>
          <w:rStyle w:val="CharacterStyle1"/>
          <w:rFonts w:ascii="Verdana" w:hAnsi="Verdana" w:cs="Verdana"/>
          <w:spacing w:val="5"/>
        </w:rPr>
        <w:t>señora</w:t>
      </w:r>
      <w:r>
        <w:rPr>
          <w:rStyle w:val="CharacterStyle1"/>
          <w:rFonts w:ascii="Verdana" w:hAnsi="Verdana" w:cs="Verdana"/>
          <w:spacing w:val="5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Y</w:t>
      </w:r>
      <w:r w:rsidR="000D7F90"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Z</w:t>
      </w:r>
      <w:r w:rsidR="000D7F90"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S</w:t>
      </w:r>
      <w:r w:rsidR="000D7F90"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 xml:space="preserve">Z, </w:t>
      </w:r>
      <w:r w:rsidR="000D7F90">
        <w:rPr>
          <w:rStyle w:val="CharacterStyle1"/>
          <w:rFonts w:ascii="Verdana" w:hAnsi="Verdana" w:cs="Verdana"/>
          <w:spacing w:val="5"/>
        </w:rPr>
        <w:t>c</w:t>
      </w:r>
      <w:r w:rsidR="001015A2">
        <w:rPr>
          <w:rStyle w:val="CharacterStyle1"/>
          <w:rFonts w:ascii="Verdana" w:hAnsi="Verdana" w:cs="Verdana"/>
          <w:spacing w:val="5"/>
        </w:rPr>
        <w:t>é</w:t>
      </w:r>
      <w:r w:rsidR="000D7F90">
        <w:rPr>
          <w:rStyle w:val="CharacterStyle1"/>
          <w:rFonts w:ascii="Verdana" w:hAnsi="Verdana" w:cs="Verdana"/>
          <w:spacing w:val="5"/>
        </w:rPr>
        <w:t xml:space="preserve">dula de identidad </w:t>
      </w:r>
      <w:proofErr w:type="gramStart"/>
      <w:r w:rsidR="000D7F90">
        <w:rPr>
          <w:rStyle w:val="CharacterStyle1"/>
          <w:rFonts w:ascii="Verdana" w:hAnsi="Verdana" w:cs="Verdana"/>
          <w:spacing w:val="5"/>
        </w:rPr>
        <w:t>nú</w:t>
      </w:r>
      <w:r>
        <w:rPr>
          <w:rStyle w:val="CharacterStyle1"/>
          <w:rFonts w:ascii="Verdana" w:hAnsi="Verdana" w:cs="Verdana"/>
          <w:spacing w:val="5"/>
        </w:rPr>
        <w:t xml:space="preserve">mero </w:t>
      </w:r>
      <w:r w:rsidR="001015A2">
        <w:rPr>
          <w:rStyle w:val="CharacterStyle1"/>
          <w:rFonts w:ascii="Verdana" w:hAnsi="Verdana" w:cs="Verdana"/>
          <w:spacing w:val="5"/>
        </w:rPr>
        <w:t>…</w:t>
      </w:r>
      <w:proofErr w:type="gramEnd"/>
      <w:r>
        <w:rPr>
          <w:rStyle w:val="CharacterStyle1"/>
          <w:rFonts w:ascii="Verdana" w:hAnsi="Verdana" w:cs="Verdana"/>
          <w:spacing w:val="5"/>
        </w:rPr>
        <w:t xml:space="preserve">, en su </w:t>
      </w:r>
      <w:r w:rsidR="000D7F90">
        <w:rPr>
          <w:rStyle w:val="CharacterStyle1"/>
          <w:rFonts w:ascii="Verdana" w:hAnsi="Verdana" w:cs="Verdana"/>
          <w:spacing w:val="5"/>
        </w:rPr>
        <w:t>condición</w:t>
      </w:r>
      <w:r>
        <w:rPr>
          <w:rStyle w:val="CharacterStyle1"/>
          <w:rFonts w:ascii="Verdana" w:hAnsi="Verdana" w:cs="Verdana"/>
          <w:spacing w:val="5"/>
        </w:rPr>
        <w:t xml:space="preserve"> de Apoderada </w:t>
      </w:r>
      <w:r w:rsidR="000D7F90">
        <w:rPr>
          <w:rStyle w:val="CharacterStyle1"/>
          <w:rFonts w:ascii="Verdana" w:hAnsi="Verdana" w:cs="Verdana"/>
          <w:spacing w:val="5"/>
        </w:rPr>
        <w:t>Generalísima</w:t>
      </w:r>
      <w:r>
        <w:rPr>
          <w:rStyle w:val="CharacterStyle1"/>
          <w:rFonts w:ascii="Verdana" w:hAnsi="Verdana" w:cs="Verdana"/>
          <w:spacing w:val="5"/>
        </w:rPr>
        <w:t xml:space="preserve"> sin </w:t>
      </w:r>
      <w:r w:rsidR="000D7F90">
        <w:rPr>
          <w:rStyle w:val="CharacterStyle1"/>
          <w:rFonts w:ascii="Verdana" w:hAnsi="Verdana" w:cs="Verdana"/>
          <w:spacing w:val="5"/>
        </w:rPr>
        <w:t>Límite</w:t>
      </w:r>
      <w:r>
        <w:rPr>
          <w:rStyle w:val="CharacterStyle1"/>
          <w:rFonts w:ascii="Verdana" w:hAnsi="Verdana" w:cs="Verdana"/>
          <w:spacing w:val="5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5"/>
        </w:rPr>
        <w:t>T</w:t>
      </w:r>
      <w:r w:rsidR="000D7F9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>B</w:t>
      </w:r>
      <w:r w:rsidR="000D7F9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>L</w:t>
      </w:r>
      <w:r w:rsidR="000D7F9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 xml:space="preserve">, </w:t>
      </w:r>
      <w:r>
        <w:rPr>
          <w:rStyle w:val="CharacterStyle1"/>
          <w:rFonts w:ascii="Verdana" w:hAnsi="Verdana" w:cs="Verdana"/>
          <w:spacing w:val="5"/>
        </w:rPr>
        <w:t xml:space="preserve">contra la </w:t>
      </w:r>
      <w:r w:rsidR="000D7F90">
        <w:rPr>
          <w:rStyle w:val="CharacterStyle1"/>
          <w:rFonts w:ascii="Verdana" w:hAnsi="Verdana" w:cs="Verdana"/>
          <w:spacing w:val="5"/>
        </w:rPr>
        <w:t>Resolución</w:t>
      </w:r>
      <w:r>
        <w:rPr>
          <w:rStyle w:val="CharacterStyle1"/>
          <w:rFonts w:ascii="Verdana" w:hAnsi="Verdana" w:cs="Verdana"/>
          <w:spacing w:val="5"/>
        </w:rPr>
        <w:t xml:space="preserve"> del Tribunal</w:t>
      </w:r>
      <w:r w:rsidR="000D7F90">
        <w:rPr>
          <w:rStyle w:val="CharacterStyle1"/>
          <w:rFonts w:ascii="Verdana" w:hAnsi="Verdana" w:cs="Verdana"/>
          <w:spacing w:val="5"/>
        </w:rPr>
        <w:t xml:space="preserve"> Administrativo de Transporte nú</w:t>
      </w:r>
      <w:r>
        <w:rPr>
          <w:rStyle w:val="CharacterStyle1"/>
          <w:rFonts w:ascii="Verdana" w:hAnsi="Verdana" w:cs="Verdana"/>
          <w:spacing w:val="5"/>
        </w:rPr>
        <w:t xml:space="preserve">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  <w:spacing w:val="5"/>
        </w:rPr>
        <w:t>Expediente Administrativo No. TAT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pacing w:val="5"/>
        </w:rPr>
        <w:t>105</w:t>
      </w:r>
      <w:r>
        <w:rPr>
          <w:rStyle w:val="CharacterStyle1"/>
          <w:rFonts w:ascii="Verdana" w:hAnsi="Verdana" w:cs="Verdana"/>
          <w:b/>
          <w:bCs/>
          <w:spacing w:val="5"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pacing w:val="5"/>
        </w:rPr>
        <w:t>14.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9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0D7F90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65" w:line="245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62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 RTAS POR IMPROCEDENTE.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5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Recurso Presentado es improcedente y debe rechazarse Ad Portas, por </w:t>
      </w:r>
      <w:proofErr w:type="spellStart"/>
      <w:r>
        <w:rPr>
          <w:rStyle w:val="CharacterStyle1"/>
          <w:rFonts w:ascii="Verdana" w:hAnsi="Verdana" w:cs="Verdana"/>
        </w:rPr>
        <w:t>as</w:t>
      </w:r>
      <w:proofErr w:type="spellEnd"/>
      <w:r>
        <w:rPr>
          <w:rStyle w:val="CharacterStyle1"/>
          <w:rFonts w:ascii="Verdana" w:hAnsi="Verdana" w:cs="Verdana"/>
        </w:rPr>
        <w:t xml:space="preserve"> razones que de seguido se indican: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8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0D7F90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22 de la Ley Reguladora del Servicio </w:t>
      </w:r>
      <w:r w:rsidR="000D7F90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 de Transporte Remunerado de Personas en </w:t>
      </w:r>
      <w:r w:rsidR="000D7F90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diciembre de 1999 y el Dictamen de la </w:t>
      </w:r>
      <w:r w:rsidR="000D7F90">
        <w:rPr>
          <w:rStyle w:val="CharacterStyle1"/>
          <w:rFonts w:ascii="Verdana" w:hAnsi="Verdana" w:cs="Verdana"/>
          <w:spacing w:val="4"/>
        </w:rPr>
        <w:t>Procuraduría General de L</w:t>
      </w:r>
      <w:r>
        <w:rPr>
          <w:rStyle w:val="CharacterStyle1"/>
          <w:rFonts w:ascii="Verdana" w:hAnsi="Verdana" w:cs="Verdana"/>
          <w:spacing w:val="4"/>
        </w:rPr>
        <w:t xml:space="preserve">a Republica No C-037-2000, del 25 de febrero del 2000, es competente para conocer y resolver los recursos de </w:t>
      </w:r>
      <w:r w:rsidR="000D7F90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emanadas del Consejo de Transporte </w:t>
      </w:r>
      <w:r w:rsidR="000D7F90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0D7F90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0D7F90">
        <w:rPr>
          <w:rStyle w:val="CharacterStyle1"/>
          <w:rFonts w:ascii="Verdana" w:hAnsi="Verdana" w:cs="Verdana"/>
          <w:spacing w:val="4"/>
        </w:rPr>
        <w:t>artículo 181 de L</w:t>
      </w:r>
      <w:r>
        <w:rPr>
          <w:rStyle w:val="CharacterStyle1"/>
          <w:rFonts w:ascii="Verdana" w:hAnsi="Verdana" w:cs="Verdana"/>
          <w:spacing w:val="4"/>
        </w:rPr>
        <w:t xml:space="preserve">a Ley General de la </w:t>
      </w:r>
      <w:r w:rsidR="000D7F90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P</w:t>
      </w:r>
      <w:r w:rsidR="000D7F90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 xml:space="preserve">blica, </w:t>
      </w:r>
      <w:r w:rsidR="000D7F90">
        <w:rPr>
          <w:rStyle w:val="CharacterStyle1"/>
          <w:rFonts w:ascii="Verdana" w:hAnsi="Verdana" w:cs="Verdana"/>
          <w:spacing w:val="4"/>
        </w:rPr>
        <w:t>señala</w:t>
      </w:r>
      <w:r>
        <w:rPr>
          <w:rStyle w:val="CharacterStyle1"/>
          <w:rFonts w:ascii="Verdana" w:hAnsi="Verdana" w:cs="Verdana"/>
          <w:spacing w:val="4"/>
        </w:rPr>
        <w:t xml:space="preserve"> textualmente lo siguiente: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48" w:line="257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Articulo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0D7F90">
        <w:rPr>
          <w:rStyle w:val="CharacterStyle1"/>
          <w:rFonts w:ascii="Verdana" w:hAnsi="Verdana" w:cs="Verdana"/>
        </w:rPr>
        <w:t>jerárquico</w:t>
      </w:r>
      <w:r>
        <w:rPr>
          <w:rStyle w:val="CharacterStyle1"/>
          <w:rFonts w:ascii="Verdana" w:hAnsi="Verdana" w:cs="Verdana"/>
        </w:rPr>
        <w:t xml:space="preserve"> </w:t>
      </w:r>
      <w:r w:rsidR="000D7F90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 w:rsidR="000D7F90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0D7F90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 w:rsidR="000D7F90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510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0D7F90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y </w:t>
      </w:r>
      <w:r w:rsidR="000D7F90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0D7F90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at rechazo del</w:t>
      </w:r>
    </w:p>
    <w:p w:rsidR="00C67B25" w:rsidRDefault="00C67B25">
      <w:pPr>
        <w:widowControl/>
        <w:kinsoku/>
        <w:overflowPunct/>
        <w:autoSpaceDE w:val="0"/>
        <w:autoSpaceDN w:val="0"/>
        <w:adjustRightInd w:val="0"/>
        <w:textAlignment w:val="auto"/>
        <w:sectPr w:rsidR="00C67B25">
          <w:pgSz w:w="12120" w:h="15840"/>
          <w:pgMar w:top="1459" w:right="1805" w:bottom="331" w:left="2035" w:header="720" w:footer="720" w:gutter="0"/>
          <w:cols w:space="720"/>
          <w:noEndnote/>
        </w:sectPr>
      </w:pP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line="257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proofErr w:type="gramStart"/>
      <w:r>
        <w:rPr>
          <w:rStyle w:val="CharacterStyle1"/>
          <w:rFonts w:ascii="Verdana" w:hAnsi="Verdana" w:cs="Verdana"/>
          <w:sz w:val="21"/>
          <w:szCs w:val="21"/>
        </w:rPr>
        <w:lastRenderedPageBreak/>
        <w:t>recurso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 de Revocatoria que se presenta contra su propia </w:t>
      </w:r>
      <w:r w:rsidR="000D7F90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por ser improcedente.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48" w:line="257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El recurrente presenta un recurso de Revocatoria en contra de una </w:t>
      </w:r>
      <w:r w:rsidR="000D7F90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emanada de este despacho, por lo que el mismo deviene en improcedente ya que de acuerdo con lo indicado en el </w:t>
      </w:r>
      <w:r w:rsidR="000D7F90">
        <w:rPr>
          <w:rStyle w:val="CharacterStyle1"/>
          <w:rFonts w:ascii="Verdana" w:hAnsi="Verdana" w:cs="Verdana"/>
          <w:sz w:val="21"/>
          <w:szCs w:val="21"/>
        </w:rPr>
        <w:t>párrafo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precedente, las resoluciones del Tribunal carecen de ulterior recurso, esto se sustenta aun mas, en el nu</w:t>
      </w:r>
      <w:r w:rsidR="000D7F90">
        <w:rPr>
          <w:rStyle w:val="CharacterStyle1"/>
          <w:rFonts w:ascii="Verdana" w:hAnsi="Verdana" w:cs="Verdana"/>
          <w:sz w:val="21"/>
          <w:szCs w:val="21"/>
        </w:rPr>
        <w:t>meral 292 de la Ley General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0D7F90">
        <w:rPr>
          <w:rStyle w:val="CharacterStyle1"/>
          <w:rFonts w:ascii="Verdana" w:hAnsi="Verdana" w:cs="Verdana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P</w:t>
      </w:r>
      <w:r w:rsidR="000D7F90">
        <w:rPr>
          <w:rStyle w:val="CharacterStyle1"/>
          <w:rFonts w:ascii="Verdana" w:hAnsi="Verdana" w:cs="Verdana"/>
          <w:sz w:val="21"/>
          <w:szCs w:val="21"/>
        </w:rPr>
        <w:t>ú</w:t>
      </w:r>
      <w:r>
        <w:rPr>
          <w:rStyle w:val="CharacterStyle1"/>
          <w:rFonts w:ascii="Verdana" w:hAnsi="Verdana" w:cs="Verdana"/>
          <w:sz w:val="21"/>
          <w:szCs w:val="21"/>
        </w:rPr>
        <w:t>blica que indica: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0" w:line="257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-1"/>
          <w:sz w:val="21"/>
          <w:szCs w:val="21"/>
        </w:rPr>
        <w:t>Articulo 292.</w:t>
      </w:r>
      <w:r>
        <w:rPr>
          <w:rStyle w:val="CharacterStyle1"/>
          <w:rFonts w:ascii="Verdana" w:hAnsi="Verdana" w:cs="Verdana"/>
          <w:spacing w:val="-1"/>
          <w:sz w:val="21"/>
          <w:szCs w:val="21"/>
        </w:rPr>
        <w:noBreakHyphen/>
      </w:r>
    </w:p>
    <w:p w:rsidR="00C67B25" w:rsidRDefault="0053363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Toda </w:t>
      </w:r>
      <w:r w:rsidR="000D7F90">
        <w:rPr>
          <w:rStyle w:val="CharacterStyle1"/>
          <w:rFonts w:ascii="Verdana" w:hAnsi="Verdana" w:cs="Verdana"/>
          <w:sz w:val="21"/>
          <w:szCs w:val="21"/>
        </w:rPr>
        <w:t>petición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o </w:t>
      </w:r>
      <w:r w:rsidR="000D7F90">
        <w:rPr>
          <w:rStyle w:val="CharacterStyle1"/>
          <w:rFonts w:ascii="Verdana" w:hAnsi="Verdana" w:cs="Verdana"/>
          <w:sz w:val="21"/>
          <w:szCs w:val="21"/>
        </w:rPr>
        <w:t>reclamación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mal interpuesta </w:t>
      </w:r>
      <w:r w:rsidR="000D7F90">
        <w:rPr>
          <w:rStyle w:val="CharacterStyle1"/>
          <w:rFonts w:ascii="Verdana" w:hAnsi="Verdana" w:cs="Verdana"/>
          <w:sz w:val="21"/>
          <w:szCs w:val="21"/>
        </w:rPr>
        <w:t>podrá</w:t>
      </w:r>
      <w:r>
        <w:rPr>
          <w:rStyle w:val="CharacterStyle1"/>
          <w:rFonts w:ascii="Verdana" w:hAnsi="Verdana" w:cs="Verdana"/>
          <w:sz w:val="21"/>
          <w:szCs w:val="21"/>
        </w:rPr>
        <w:t xml:space="preserve"> ser tramitada de oficio por la autoridad correspondiente.</w:t>
      </w:r>
    </w:p>
    <w:p w:rsidR="00C67B25" w:rsidRDefault="0053363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Sin embargo, </w:t>
      </w:r>
      <w:r w:rsidR="000D7F90">
        <w:rPr>
          <w:rStyle w:val="CharacterStyle1"/>
          <w:rFonts w:ascii="Verdana" w:hAnsi="Verdana" w:cs="Verdana"/>
          <w:sz w:val="21"/>
          <w:szCs w:val="21"/>
        </w:rPr>
        <w:t>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autoridad administrativa no </w:t>
      </w:r>
      <w:r w:rsidR="000D7F90">
        <w:rPr>
          <w:rStyle w:val="CharacterStyle1"/>
          <w:rFonts w:ascii="Verdana" w:hAnsi="Verdana" w:cs="Verdana"/>
          <w:sz w:val="21"/>
          <w:szCs w:val="21"/>
        </w:rPr>
        <w:t>estará</w:t>
      </w:r>
      <w:r>
        <w:rPr>
          <w:rStyle w:val="CharacterStyle1"/>
          <w:rFonts w:ascii="Verdana" w:hAnsi="Verdana" w:cs="Verdana"/>
          <w:sz w:val="21"/>
          <w:szCs w:val="21"/>
        </w:rPr>
        <w:t xml:space="preserve"> sujeta al termino para pronunciar su decisi</w:t>
      </w:r>
      <w:r w:rsidR="000D7F90">
        <w:rPr>
          <w:rStyle w:val="CharacterStyle1"/>
          <w:rFonts w:ascii="Verdana" w:hAnsi="Verdana" w:cs="Verdana"/>
          <w:sz w:val="21"/>
          <w:szCs w:val="21"/>
        </w:rPr>
        <w:t>ó</w:t>
      </w:r>
      <w:r>
        <w:rPr>
          <w:rStyle w:val="CharacterStyle1"/>
          <w:rFonts w:ascii="Verdana" w:hAnsi="Verdana" w:cs="Verdana"/>
          <w:sz w:val="21"/>
          <w:szCs w:val="21"/>
        </w:rPr>
        <w:t xml:space="preserve">n al respecto, ni obligada a hacerlo, salvo en lo que respecta a la inadmisibilidad de la </w:t>
      </w:r>
      <w:r w:rsidR="000D7F90">
        <w:rPr>
          <w:rStyle w:val="CharacterStyle1"/>
          <w:rFonts w:ascii="Verdana" w:hAnsi="Verdana" w:cs="Verdana"/>
          <w:sz w:val="21"/>
          <w:szCs w:val="21"/>
        </w:rPr>
        <w:t>petición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o </w:t>
      </w:r>
      <w:r w:rsidR="000D7F90">
        <w:rPr>
          <w:rStyle w:val="CharacterStyle1"/>
          <w:rFonts w:ascii="Verdana" w:hAnsi="Verdana" w:cs="Verdana"/>
          <w:sz w:val="21"/>
          <w:szCs w:val="21"/>
        </w:rPr>
        <w:t>reclamación</w:t>
      </w:r>
      <w:r>
        <w:rPr>
          <w:rStyle w:val="CharacterStyle1"/>
          <w:rFonts w:ascii="Verdana" w:hAnsi="Verdana" w:cs="Verdana"/>
          <w:sz w:val="21"/>
          <w:szCs w:val="21"/>
        </w:rPr>
        <w:t>.</w:t>
      </w:r>
    </w:p>
    <w:p w:rsidR="00C67B25" w:rsidRDefault="0053363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La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rechazara de piano las peticiones que fueren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extemporáneas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sz w:val="21"/>
          <w:szCs w:val="21"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La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que rechace de piano una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petición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tendrá los mismos recursos que l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a 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final." </w:t>
      </w:r>
      <w:r>
        <w:rPr>
          <w:rStyle w:val="CharacterStyle1"/>
          <w:rFonts w:ascii="Verdana" w:hAnsi="Verdana" w:cs="Verdana"/>
          <w:sz w:val="21"/>
          <w:szCs w:val="21"/>
        </w:rPr>
        <w:t>(el resaltado es nuestro)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517" w:line="243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pacing w:val="-5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5"/>
          <w:sz w:val="21"/>
          <w:szCs w:val="21"/>
        </w:rPr>
        <w:t>POR TANTO:</w:t>
      </w:r>
    </w:p>
    <w:p w:rsidR="00C67B25" w:rsidRDefault="0053363F">
      <w:pPr>
        <w:pStyle w:val="Style1"/>
        <w:kinsoku w:val="0"/>
        <w:overflowPunct w:val="0"/>
        <w:autoSpaceDE/>
        <w:autoSpaceDN/>
        <w:adjustRightInd/>
        <w:spacing w:before="252" w:line="257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L- </w:t>
      </w:r>
      <w:r>
        <w:rPr>
          <w:rStyle w:val="CharacterStyle1"/>
          <w:rFonts w:ascii="Verdana" w:hAnsi="Verdana" w:cs="Verdana"/>
          <w:sz w:val="21"/>
          <w:szCs w:val="21"/>
        </w:rPr>
        <w:t xml:space="preserve">Se rechaza Ad Portas por improcedente, el RECURSO DE REVOCATORIA, interpuesto por </w:t>
      </w:r>
      <w:r w:rsidR="000D7F90">
        <w:rPr>
          <w:rStyle w:val="CharacterStyle1"/>
          <w:rFonts w:ascii="Verdana" w:hAnsi="Verdana" w:cs="Verdana"/>
          <w:sz w:val="21"/>
          <w:szCs w:val="21"/>
        </w:rPr>
        <w:t>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0D7F90">
        <w:rPr>
          <w:rStyle w:val="CharacterStyle1"/>
          <w:rFonts w:ascii="Verdana" w:hAnsi="Verdana" w:cs="Verdana"/>
          <w:sz w:val="21"/>
          <w:szCs w:val="21"/>
        </w:rPr>
        <w:t>señora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Y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Z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S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</w:t>
      </w:r>
      <w:r>
        <w:rPr>
          <w:rStyle w:val="CharacterStyle1"/>
          <w:rFonts w:ascii="Verdana" w:hAnsi="Verdana" w:cs="Verdana"/>
          <w:sz w:val="21"/>
          <w:szCs w:val="21"/>
        </w:rPr>
        <w:t>c</w:t>
      </w:r>
      <w:r w:rsidR="001015A2">
        <w:rPr>
          <w:rStyle w:val="CharacterStyle1"/>
          <w:rFonts w:ascii="Verdana" w:hAnsi="Verdana" w:cs="Verdana"/>
          <w:sz w:val="21"/>
          <w:szCs w:val="21"/>
        </w:rPr>
        <w:t>é</w:t>
      </w:r>
      <w:r>
        <w:rPr>
          <w:rStyle w:val="CharacterStyle1"/>
          <w:rFonts w:ascii="Verdana" w:hAnsi="Verdana" w:cs="Verdana"/>
          <w:sz w:val="21"/>
          <w:szCs w:val="21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z w:val="21"/>
          <w:szCs w:val="21"/>
        </w:rPr>
        <w:t>n</w:t>
      </w:r>
      <w:r w:rsidR="001015A2">
        <w:rPr>
          <w:rStyle w:val="CharacterStyle1"/>
          <w:rFonts w:ascii="Verdana" w:hAnsi="Verdana" w:cs="Verdana"/>
          <w:sz w:val="21"/>
          <w:szCs w:val="21"/>
        </w:rPr>
        <w:t>ú</w:t>
      </w:r>
      <w:r>
        <w:rPr>
          <w:rStyle w:val="CharacterStyle1"/>
          <w:rFonts w:ascii="Verdana" w:hAnsi="Verdana" w:cs="Verdana"/>
          <w:sz w:val="21"/>
          <w:szCs w:val="21"/>
        </w:rPr>
        <w:t xml:space="preserve">mero </w:t>
      </w:r>
      <w:r w:rsidR="001015A2">
        <w:rPr>
          <w:rStyle w:val="CharacterStyle1"/>
          <w:rFonts w:ascii="Verdana" w:hAnsi="Verdana" w:cs="Verdana"/>
          <w:sz w:val="21"/>
          <w:szCs w:val="21"/>
        </w:rPr>
        <w:t>…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, en su </w:t>
      </w:r>
      <w:r w:rsidR="000D7F90">
        <w:rPr>
          <w:rStyle w:val="CharacterStyle1"/>
          <w:rFonts w:ascii="Verdana" w:hAnsi="Verdana" w:cs="Verdana"/>
          <w:sz w:val="21"/>
          <w:szCs w:val="21"/>
        </w:rPr>
        <w:t>condición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Apoderada </w:t>
      </w:r>
      <w:r w:rsidR="000D7F90">
        <w:rPr>
          <w:rStyle w:val="CharacterStyle1"/>
          <w:rFonts w:ascii="Verdana" w:hAnsi="Verdana" w:cs="Verdana"/>
          <w:sz w:val="21"/>
          <w:szCs w:val="21"/>
        </w:rPr>
        <w:t>Generalísima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sin </w:t>
      </w:r>
      <w:r w:rsidR="000D7F90">
        <w:rPr>
          <w:rStyle w:val="CharacterStyle1"/>
          <w:rFonts w:ascii="Verdana" w:hAnsi="Verdana" w:cs="Verdana"/>
          <w:sz w:val="21"/>
          <w:szCs w:val="21"/>
        </w:rPr>
        <w:t>Límite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T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B</w:t>
      </w:r>
      <w:r w:rsidR="000D7F90">
        <w:rPr>
          <w:rStyle w:val="CharacterStyle1"/>
          <w:rFonts w:ascii="Verdana" w:hAnsi="Verdana" w:cs="Verdana"/>
          <w:b/>
          <w:bCs/>
          <w:sz w:val="21"/>
          <w:szCs w:val="21"/>
        </w:rPr>
        <w:t>.L.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</w:t>
      </w:r>
      <w:r>
        <w:rPr>
          <w:rStyle w:val="CharacterStyle1"/>
          <w:rFonts w:ascii="Verdana" w:hAnsi="Verdana" w:cs="Verdana"/>
          <w:sz w:val="21"/>
          <w:szCs w:val="21"/>
        </w:rPr>
        <w:t xml:space="preserve">contra la </w:t>
      </w:r>
      <w:r w:rsidR="000D7F90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del Tribunal Administrativo de Transporte n</w:t>
      </w:r>
      <w:r w:rsidR="001015A2">
        <w:rPr>
          <w:rStyle w:val="CharacterStyle1"/>
          <w:rFonts w:ascii="Verdana" w:hAnsi="Verdana" w:cs="Verdana"/>
          <w:sz w:val="21"/>
          <w:szCs w:val="21"/>
        </w:rPr>
        <w:t>ú</w:t>
      </w:r>
      <w:r>
        <w:rPr>
          <w:rStyle w:val="CharacterStyle1"/>
          <w:rFonts w:ascii="Verdana" w:hAnsi="Verdana" w:cs="Verdana"/>
          <w:sz w:val="21"/>
          <w:szCs w:val="21"/>
        </w:rPr>
        <w:t>mero TAT-2263</w:t>
      </w:r>
      <w:r w:rsidR="001015A2">
        <w:rPr>
          <w:rStyle w:val="CharacterStyle1"/>
          <w:rFonts w:ascii="Verdana" w:hAnsi="Verdana" w:cs="Verdana"/>
          <w:sz w:val="21"/>
          <w:szCs w:val="21"/>
        </w:rPr>
        <w:t>-</w:t>
      </w:r>
      <w:r>
        <w:rPr>
          <w:rStyle w:val="CharacterStyle1"/>
          <w:rFonts w:ascii="Verdana" w:hAnsi="Verdana" w:cs="Verdana"/>
          <w:sz w:val="21"/>
          <w:szCs w:val="21"/>
        </w:rPr>
        <w:softHyphen/>
        <w:t>2014 de las doce horas del doce de junio del dos mil catorce.</w:t>
      </w:r>
    </w:p>
    <w:p w:rsidR="000D7F90" w:rsidRDefault="0053363F" w:rsidP="000D7F90">
      <w:pPr>
        <w:pStyle w:val="Style1"/>
        <w:kinsoku w:val="0"/>
        <w:overflowPunct w:val="0"/>
        <w:autoSpaceDE/>
        <w:autoSpaceDN/>
        <w:adjustRightInd/>
        <w:spacing w:before="261" w:after="86" w:line="257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II.- </w:t>
      </w:r>
      <w:r>
        <w:rPr>
          <w:rStyle w:val="CharacterStyle1"/>
          <w:rFonts w:ascii="Verdana" w:hAnsi="Verdana" w:cs="Verdana"/>
          <w:sz w:val="21"/>
          <w:szCs w:val="21"/>
        </w:rPr>
        <w:t xml:space="preserve">De conformidad con el </w:t>
      </w:r>
      <w:r w:rsidR="000D7F90">
        <w:rPr>
          <w:rStyle w:val="CharacterStyle1"/>
          <w:rFonts w:ascii="Verdana" w:hAnsi="Verdana" w:cs="Verdana"/>
          <w:sz w:val="21"/>
          <w:szCs w:val="21"/>
        </w:rPr>
        <w:t>artículo 22, inciso c), de La citada Ley 7969,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presente </w:t>
      </w:r>
      <w:r w:rsidR="000D7F90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tiene por agotada la </w:t>
      </w:r>
      <w:r w:rsidR="001015A2">
        <w:rPr>
          <w:rStyle w:val="CharacterStyle1"/>
          <w:rFonts w:ascii="Verdana" w:hAnsi="Verdana" w:cs="Verdana"/>
          <w:i/>
          <w:iCs/>
          <w:sz w:val="21"/>
          <w:szCs w:val="21"/>
        </w:rPr>
        <w:t>vía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NOTIFIQLIESE.-</w:t>
      </w: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0D7F90" w:rsidRPr="005D013E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C67B25" w:rsidRDefault="000D7F90" w:rsidP="000D7F90">
      <w:pPr>
        <w:pStyle w:val="Style1"/>
        <w:kinsoku w:val="0"/>
        <w:overflowPunct w:val="0"/>
        <w:autoSpaceDE/>
        <w:autoSpaceDN/>
        <w:adjustRightInd/>
        <w:spacing w:before="261" w:after="86" w:line="257" w:lineRule="exact"/>
        <w:ind w:right="576"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0D7F90" w:rsidRDefault="000D7F90" w:rsidP="000D7F90">
      <w:pPr>
        <w:pStyle w:val="Style1"/>
        <w:kinsoku w:val="0"/>
        <w:overflowPunct w:val="0"/>
        <w:autoSpaceDE/>
        <w:autoSpaceDN/>
        <w:adjustRightInd/>
        <w:spacing w:before="261" w:after="86" w:line="257" w:lineRule="exact"/>
        <w:ind w:right="576"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</w:pPr>
    </w:p>
    <w:p w:rsidR="000D7F90" w:rsidRPr="000D7F90" w:rsidRDefault="000D7F90" w:rsidP="000D7F90">
      <w:pPr>
        <w:pStyle w:val="Style1"/>
        <w:kinsoku w:val="0"/>
        <w:overflowPunct w:val="0"/>
        <w:autoSpaceDE/>
        <w:autoSpaceDN/>
        <w:adjustRightInd/>
        <w:spacing w:before="261" w:after="86" w:line="257" w:lineRule="exact"/>
        <w:ind w:right="576"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  <w:sectPr w:rsidR="000D7F90" w:rsidRPr="000D7F90">
          <w:pgSz w:w="12120" w:h="15840"/>
          <w:pgMar w:top="1440" w:right="1454" w:bottom="130" w:left="2026" w:header="720" w:footer="720" w:gutter="0"/>
          <w:cols w:space="720"/>
          <w:noEndnote/>
        </w:sectPr>
      </w:pPr>
    </w:p>
    <w:p w:rsidR="00C67B25" w:rsidRDefault="00C67B25">
      <w:pPr>
        <w:pStyle w:val="Style1"/>
        <w:kinsoku w:val="0"/>
        <w:overflowPunct w:val="0"/>
        <w:autoSpaceDE/>
        <w:autoSpaceDN/>
        <w:adjustRightInd/>
        <w:spacing w:before="139" w:line="257" w:lineRule="exact"/>
        <w:textAlignment w:val="baseline"/>
        <w:rPr>
          <w:rStyle w:val="CharacterStyle1"/>
          <w:spacing w:val="9"/>
          <w:sz w:val="21"/>
          <w:szCs w:val="21"/>
        </w:rPr>
      </w:pPr>
    </w:p>
    <w:sectPr w:rsidR="00C67B25" w:rsidSect="00C67B25">
      <w:type w:val="continuous"/>
      <w:pgSz w:w="12120" w:h="15840"/>
      <w:pgMar w:top="1440" w:right="2065" w:bottom="130" w:left="73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E14D"/>
    <w:multiLevelType w:val="singleLevel"/>
    <w:tmpl w:val="6DC6CCE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5B5EE1"/>
    <w:rsid w:val="000D7F90"/>
    <w:rsid w:val="001015A2"/>
    <w:rsid w:val="0053363F"/>
    <w:rsid w:val="005B5EE1"/>
    <w:rsid w:val="00C6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25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67B25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C67B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006DF-A813-46EE-881C-E3FD2F82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2014-08-19T15:28:00Z</dcterms:created>
  <dcterms:modified xsi:type="dcterms:W3CDTF">2015-07-01T17:14:00Z</dcterms:modified>
</cp:coreProperties>
</file>